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FA8" w:rsidRPr="004E7FA8" w:rsidRDefault="004E7FA8" w:rsidP="004E7FA8">
      <w:pPr>
        <w:pStyle w:val="Heading2"/>
        <w:jc w:val="center"/>
        <w:rPr>
          <w:rFonts w:asciiTheme="minorHAnsi" w:hAnsiTheme="minorHAnsi" w:cstheme="minorHAnsi"/>
          <w:caps/>
          <w:color w:val="17365D" w:themeColor="text2" w:themeShade="BF"/>
          <w:sz w:val="24"/>
          <w:szCs w:val="20"/>
        </w:rPr>
      </w:pPr>
      <w:r w:rsidRPr="004E7FA8">
        <w:rPr>
          <w:rStyle w:val="Strong"/>
          <w:rFonts w:asciiTheme="minorHAnsi" w:hAnsiTheme="minorHAnsi" w:cstheme="minorHAnsi"/>
          <w:b/>
          <w:bCs/>
          <w:caps/>
          <w:color w:val="17365D" w:themeColor="text2" w:themeShade="BF"/>
          <w:sz w:val="24"/>
          <w:szCs w:val="20"/>
        </w:rPr>
        <w:t>Procedure of a Transaction</w:t>
      </w:r>
    </w:p>
    <w:p w:rsidR="004E7FA8" w:rsidRPr="00CB23AE" w:rsidRDefault="004E7FA8" w:rsidP="004E7FA8">
      <w:pPr>
        <w:spacing w:before="100" w:beforeAutospacing="1" w:after="100" w:afterAutospacing="1" w:line="240" w:lineRule="auto"/>
        <w:outlineLvl w:val="2"/>
        <w:rPr>
          <w:rFonts w:eastAsia="Times New Roman" w:cstheme="minorHAnsi"/>
          <w:b/>
          <w:bCs/>
          <w:sz w:val="20"/>
          <w:szCs w:val="20"/>
        </w:rPr>
      </w:pPr>
      <w:r w:rsidRPr="004E7FA8">
        <w:rPr>
          <w:rFonts w:eastAsia="Times New Roman" w:cstheme="minorHAnsi"/>
          <w:b/>
          <w:bCs/>
          <w:sz w:val="20"/>
          <w:szCs w:val="20"/>
        </w:rPr>
        <w:t>ANNEX</w:t>
      </w:r>
      <w:r>
        <w:rPr>
          <w:rFonts w:eastAsia="Times New Roman" w:cstheme="minorHAnsi"/>
          <w:b/>
          <w:bCs/>
          <w:sz w:val="20"/>
          <w:szCs w:val="20"/>
        </w:rPr>
        <w:t xml:space="preserve"> </w:t>
      </w:r>
      <w:proofErr w:type="gramStart"/>
      <w:r>
        <w:rPr>
          <w:rFonts w:eastAsia="Times New Roman" w:cstheme="minorHAnsi"/>
          <w:b/>
          <w:bCs/>
          <w:sz w:val="20"/>
          <w:szCs w:val="20"/>
        </w:rPr>
        <w:t xml:space="preserve">1 </w:t>
      </w:r>
      <w:r w:rsidRPr="004E7FA8">
        <w:rPr>
          <w:rFonts w:eastAsia="Times New Roman" w:cstheme="minorHAnsi"/>
          <w:b/>
          <w:bCs/>
          <w:sz w:val="20"/>
          <w:szCs w:val="20"/>
        </w:rPr>
        <w:t xml:space="preserve"> –</w:t>
      </w:r>
      <w:proofErr w:type="gramEnd"/>
      <w:r w:rsidRPr="004E7FA8">
        <w:rPr>
          <w:rFonts w:eastAsia="Times New Roman" w:cstheme="minorHAnsi"/>
          <w:b/>
          <w:bCs/>
          <w:sz w:val="20"/>
          <w:szCs w:val="20"/>
        </w:rPr>
        <w:t xml:space="preserve"> PROCEDURE OF TRANSACTION</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Execution of Contract</w:t>
      </w:r>
      <w:r w:rsidRPr="00CB23AE">
        <w:rPr>
          <w:rFonts w:eastAsia="Times New Roman" w:cstheme="minorHAnsi"/>
          <w:sz w:val="20"/>
          <w:szCs w:val="20"/>
        </w:rPr>
        <w:br/>
        <w:t>Buyer and Seller shall duly sign the Sales and Purchase Agreement (SPA) in PDF format. Each Party shall receive one identical copy in electronic form. The SPA shall become legally binding upon signature by both Parties.</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 xml:space="preserve">Issuance of </w:t>
      </w:r>
      <w:proofErr w:type="spellStart"/>
      <w:r w:rsidRPr="004E7FA8">
        <w:rPr>
          <w:rFonts w:eastAsia="Times New Roman" w:cstheme="minorHAnsi"/>
          <w:b/>
          <w:bCs/>
          <w:sz w:val="20"/>
          <w:szCs w:val="20"/>
        </w:rPr>
        <w:t>Proforma</w:t>
      </w:r>
      <w:proofErr w:type="spellEnd"/>
      <w:r w:rsidRPr="004E7FA8">
        <w:rPr>
          <w:rFonts w:eastAsia="Times New Roman" w:cstheme="minorHAnsi"/>
          <w:b/>
          <w:bCs/>
          <w:sz w:val="20"/>
          <w:szCs w:val="20"/>
        </w:rPr>
        <w:t xml:space="preserve"> Invoice</w:t>
      </w:r>
      <w:r w:rsidRPr="00CB23AE">
        <w:rPr>
          <w:rFonts w:eastAsia="Times New Roman" w:cstheme="minorHAnsi"/>
          <w:sz w:val="20"/>
          <w:szCs w:val="20"/>
        </w:rPr>
        <w:br/>
        <w:t xml:space="preserve">The Seller issues a </w:t>
      </w:r>
      <w:proofErr w:type="spellStart"/>
      <w:r w:rsidRPr="00CB23AE">
        <w:rPr>
          <w:rFonts w:eastAsia="Times New Roman" w:cstheme="minorHAnsi"/>
          <w:sz w:val="20"/>
          <w:szCs w:val="20"/>
        </w:rPr>
        <w:t>Proforma</w:t>
      </w:r>
      <w:proofErr w:type="spellEnd"/>
      <w:r w:rsidRPr="00CB23AE">
        <w:rPr>
          <w:rFonts w:eastAsia="Times New Roman" w:cstheme="minorHAnsi"/>
          <w:sz w:val="20"/>
          <w:szCs w:val="20"/>
        </w:rPr>
        <w:t xml:space="preserve"> Invoice to the Buyer indicating product description, quantity, unit price, total contract value, delivery terms (</w:t>
      </w:r>
      <w:proofErr w:type="spellStart"/>
      <w:r w:rsidRPr="00CB23AE">
        <w:rPr>
          <w:rFonts w:eastAsia="Times New Roman" w:cstheme="minorHAnsi"/>
          <w:sz w:val="20"/>
          <w:szCs w:val="20"/>
        </w:rPr>
        <w:t>Incoterms</w:t>
      </w:r>
      <w:proofErr w:type="spellEnd"/>
      <w:r w:rsidRPr="00CB23AE">
        <w:rPr>
          <w:rFonts w:eastAsia="Times New Roman" w:cstheme="minorHAnsi"/>
          <w:sz w:val="20"/>
          <w:szCs w:val="20"/>
        </w:rPr>
        <w:t>), and payment instrument.</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Buyer’s Bank Instrument</w:t>
      </w:r>
      <w:r w:rsidRPr="00CB23AE">
        <w:rPr>
          <w:rFonts w:eastAsia="Times New Roman" w:cstheme="minorHAnsi"/>
          <w:sz w:val="20"/>
          <w:szCs w:val="20"/>
        </w:rPr>
        <w:br/>
        <w:t xml:space="preserve">Within the agreed period (usually within 5–7 banking days) after signing the SPA, the Buyer’s bank shall issue and transmit to the Seller’s bank an acceptable payment instrument — such as an </w:t>
      </w:r>
      <w:r w:rsidRPr="004E7FA8">
        <w:rPr>
          <w:rFonts w:eastAsia="Times New Roman" w:cstheme="minorHAnsi"/>
          <w:bCs/>
          <w:sz w:val="20"/>
          <w:szCs w:val="20"/>
        </w:rPr>
        <w:t>Irrevocable Documentary Letter of Credit (DLC)</w:t>
      </w:r>
      <w:r w:rsidRPr="00CB23AE">
        <w:rPr>
          <w:rFonts w:eastAsia="Times New Roman" w:cstheme="minorHAnsi"/>
          <w:sz w:val="20"/>
          <w:szCs w:val="20"/>
        </w:rPr>
        <w:t xml:space="preserve">, </w:t>
      </w:r>
      <w:r w:rsidRPr="004E7FA8">
        <w:rPr>
          <w:rFonts w:eastAsia="Times New Roman" w:cstheme="minorHAnsi"/>
          <w:bCs/>
          <w:sz w:val="20"/>
          <w:szCs w:val="20"/>
        </w:rPr>
        <w:t>Standby Letter of Credit (SBLC)</w:t>
      </w:r>
      <w:r w:rsidRPr="00CB23AE">
        <w:rPr>
          <w:rFonts w:eastAsia="Times New Roman" w:cstheme="minorHAnsi"/>
          <w:sz w:val="20"/>
          <w:szCs w:val="20"/>
        </w:rPr>
        <w:t xml:space="preserve">, or </w:t>
      </w:r>
      <w:r w:rsidRPr="004E7FA8">
        <w:rPr>
          <w:rFonts w:eastAsia="Times New Roman" w:cstheme="minorHAnsi"/>
          <w:bCs/>
          <w:sz w:val="20"/>
          <w:szCs w:val="20"/>
        </w:rPr>
        <w:t>Bank Guarantee (BG)</w:t>
      </w:r>
      <w:r w:rsidRPr="00CB23AE">
        <w:rPr>
          <w:rFonts w:eastAsia="Times New Roman" w:cstheme="minorHAnsi"/>
          <w:sz w:val="20"/>
          <w:szCs w:val="20"/>
        </w:rPr>
        <w:t xml:space="preserve"> — in accordance with contract terms.</w:t>
      </w:r>
      <w:r w:rsidRPr="00CB23AE">
        <w:rPr>
          <w:rFonts w:eastAsia="Times New Roman" w:cstheme="minorHAnsi"/>
          <w:sz w:val="20"/>
          <w:szCs w:val="20"/>
        </w:rPr>
        <w:br/>
        <w:t xml:space="preserve">All instruments shall be issued by a </w:t>
      </w:r>
      <w:r w:rsidRPr="004E7FA8">
        <w:rPr>
          <w:rFonts w:eastAsia="Times New Roman" w:cstheme="minorHAnsi"/>
          <w:bCs/>
          <w:sz w:val="20"/>
          <w:szCs w:val="20"/>
        </w:rPr>
        <w:t>top-rated international bank</w:t>
      </w:r>
      <w:r w:rsidRPr="00CB23AE">
        <w:rPr>
          <w:rFonts w:eastAsia="Times New Roman" w:cstheme="minorHAnsi"/>
          <w:sz w:val="20"/>
          <w:szCs w:val="20"/>
        </w:rPr>
        <w:t xml:space="preserve"> and must be </w:t>
      </w:r>
      <w:r w:rsidRPr="004E7FA8">
        <w:rPr>
          <w:rFonts w:eastAsia="Times New Roman" w:cstheme="minorHAnsi"/>
          <w:bCs/>
          <w:sz w:val="20"/>
          <w:szCs w:val="20"/>
        </w:rPr>
        <w:t>confirmed and verifiable</w:t>
      </w:r>
      <w:r w:rsidRPr="00CB23AE">
        <w:rPr>
          <w:rFonts w:eastAsia="Times New Roman" w:cstheme="minorHAnsi"/>
          <w:sz w:val="20"/>
          <w:szCs w:val="20"/>
        </w:rPr>
        <w:t>.</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Seller’s Performance Bond (if applicable)</w:t>
      </w:r>
      <w:r w:rsidRPr="00CB23AE">
        <w:rPr>
          <w:rFonts w:eastAsia="Times New Roman" w:cstheme="minorHAnsi"/>
          <w:sz w:val="20"/>
          <w:szCs w:val="20"/>
        </w:rPr>
        <w:br/>
        <w:t xml:space="preserve">Upon receipt and verification of the Buyer’s financial instrument, the Seller may issue a </w:t>
      </w:r>
      <w:r w:rsidRPr="004E7FA8">
        <w:rPr>
          <w:rFonts w:eastAsia="Times New Roman" w:cstheme="minorHAnsi"/>
          <w:b/>
          <w:bCs/>
          <w:sz w:val="20"/>
          <w:szCs w:val="20"/>
        </w:rPr>
        <w:t>Performance Bond</w:t>
      </w:r>
      <w:r w:rsidRPr="00CB23AE">
        <w:rPr>
          <w:rFonts w:eastAsia="Times New Roman" w:cstheme="minorHAnsi"/>
          <w:sz w:val="20"/>
          <w:szCs w:val="20"/>
        </w:rPr>
        <w:t xml:space="preserve"> (usually 2% of the total contract value) in favor of the Buyer’s bank, as stipulated in the SPA.</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Scheduling of Shipment</w:t>
      </w:r>
      <w:r w:rsidRPr="00CB23AE">
        <w:rPr>
          <w:rFonts w:eastAsia="Times New Roman" w:cstheme="minorHAnsi"/>
          <w:sz w:val="20"/>
          <w:szCs w:val="20"/>
        </w:rPr>
        <w:br/>
      </w:r>
      <w:proofErr w:type="gramStart"/>
      <w:r w:rsidRPr="00CB23AE">
        <w:rPr>
          <w:rFonts w:eastAsia="Times New Roman" w:cstheme="minorHAnsi"/>
          <w:sz w:val="20"/>
          <w:szCs w:val="20"/>
        </w:rPr>
        <w:t>Upon</w:t>
      </w:r>
      <w:proofErr w:type="gramEnd"/>
      <w:r w:rsidRPr="00CB23AE">
        <w:rPr>
          <w:rFonts w:eastAsia="Times New Roman" w:cstheme="minorHAnsi"/>
          <w:sz w:val="20"/>
          <w:szCs w:val="20"/>
        </w:rPr>
        <w:t xml:space="preserve"> activation of the payment instrument, the Seller arranges loading and shipment in accordance with the agreed schedule and </w:t>
      </w:r>
      <w:proofErr w:type="spellStart"/>
      <w:r w:rsidRPr="00CB23AE">
        <w:rPr>
          <w:rFonts w:eastAsia="Times New Roman" w:cstheme="minorHAnsi"/>
          <w:sz w:val="20"/>
          <w:szCs w:val="20"/>
        </w:rPr>
        <w:t>Incoterms</w:t>
      </w:r>
      <w:proofErr w:type="spellEnd"/>
      <w:r w:rsidRPr="00CB23AE">
        <w:rPr>
          <w:rFonts w:eastAsia="Times New Roman" w:cstheme="minorHAnsi"/>
          <w:sz w:val="20"/>
          <w:szCs w:val="20"/>
        </w:rPr>
        <w:t xml:space="preserve"> (CIF, FOB, etc.). The Buyer is informed of the shipping schedule, vessel nam</w:t>
      </w:r>
      <w:r w:rsidRPr="004E7FA8">
        <w:rPr>
          <w:rFonts w:eastAsia="Times New Roman" w:cstheme="minorHAnsi"/>
          <w:sz w:val="20"/>
          <w:szCs w:val="20"/>
        </w:rPr>
        <w:t>e, and expected time of arrival (ETA)</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Inspection of Goods</w:t>
      </w:r>
      <w:r w:rsidRPr="00CB23AE">
        <w:rPr>
          <w:rFonts w:eastAsia="Times New Roman" w:cstheme="minorHAnsi"/>
          <w:sz w:val="20"/>
          <w:szCs w:val="20"/>
        </w:rPr>
        <w:br/>
      </w:r>
      <w:proofErr w:type="gramStart"/>
      <w:r w:rsidRPr="00CB23AE">
        <w:rPr>
          <w:rFonts w:eastAsia="Times New Roman" w:cstheme="minorHAnsi"/>
          <w:sz w:val="20"/>
          <w:szCs w:val="20"/>
        </w:rPr>
        <w:t>The</w:t>
      </w:r>
      <w:proofErr w:type="gramEnd"/>
      <w:r w:rsidRPr="00CB23AE">
        <w:rPr>
          <w:rFonts w:eastAsia="Times New Roman" w:cstheme="minorHAnsi"/>
          <w:sz w:val="20"/>
          <w:szCs w:val="20"/>
        </w:rPr>
        <w:t xml:space="preserve"> quantity and quality of goods shall be inspected by </w:t>
      </w:r>
      <w:r w:rsidRPr="004E7FA8">
        <w:rPr>
          <w:rFonts w:eastAsia="Times New Roman" w:cstheme="minorHAnsi"/>
          <w:bCs/>
          <w:sz w:val="20"/>
          <w:szCs w:val="20"/>
        </w:rPr>
        <w:t>SGS</w:t>
      </w:r>
      <w:r w:rsidRPr="00CB23AE">
        <w:rPr>
          <w:rFonts w:eastAsia="Times New Roman" w:cstheme="minorHAnsi"/>
          <w:sz w:val="20"/>
          <w:szCs w:val="20"/>
        </w:rPr>
        <w:t xml:space="preserve">, </w:t>
      </w:r>
      <w:r w:rsidRPr="004E7FA8">
        <w:rPr>
          <w:rFonts w:eastAsia="Times New Roman" w:cstheme="minorHAnsi"/>
          <w:bCs/>
          <w:sz w:val="20"/>
          <w:szCs w:val="20"/>
        </w:rPr>
        <w:t xml:space="preserve">Bureau </w:t>
      </w:r>
      <w:proofErr w:type="spellStart"/>
      <w:r w:rsidRPr="004E7FA8">
        <w:rPr>
          <w:rFonts w:eastAsia="Times New Roman" w:cstheme="minorHAnsi"/>
          <w:bCs/>
          <w:sz w:val="20"/>
          <w:szCs w:val="20"/>
        </w:rPr>
        <w:t>Veritas</w:t>
      </w:r>
      <w:proofErr w:type="spellEnd"/>
      <w:r w:rsidRPr="00CB23AE">
        <w:rPr>
          <w:rFonts w:eastAsia="Times New Roman" w:cstheme="minorHAnsi"/>
          <w:sz w:val="20"/>
          <w:szCs w:val="20"/>
        </w:rPr>
        <w:t xml:space="preserve">, or another internationally recognized inspection company at the </w:t>
      </w:r>
      <w:r w:rsidRPr="004E7FA8">
        <w:rPr>
          <w:rFonts w:eastAsia="Times New Roman" w:cstheme="minorHAnsi"/>
          <w:bCs/>
          <w:sz w:val="20"/>
          <w:szCs w:val="20"/>
        </w:rPr>
        <w:t>loading port</w:t>
      </w:r>
      <w:r w:rsidRPr="00CB23AE">
        <w:rPr>
          <w:rFonts w:eastAsia="Times New Roman" w:cstheme="minorHAnsi"/>
          <w:sz w:val="20"/>
          <w:szCs w:val="20"/>
        </w:rPr>
        <w:t xml:space="preserve"> (and optionally at the discharge port).</w:t>
      </w:r>
      <w:r w:rsidRPr="00CB23AE">
        <w:rPr>
          <w:rFonts w:eastAsia="Times New Roman" w:cstheme="minorHAnsi"/>
          <w:sz w:val="20"/>
          <w:szCs w:val="20"/>
        </w:rPr>
        <w:br/>
        <w:t xml:space="preserve">The </w:t>
      </w:r>
      <w:r w:rsidRPr="004E7FA8">
        <w:rPr>
          <w:rFonts w:eastAsia="Times New Roman" w:cstheme="minorHAnsi"/>
          <w:bCs/>
          <w:sz w:val="20"/>
          <w:szCs w:val="20"/>
        </w:rPr>
        <w:t>Inspection Certificate</w:t>
      </w:r>
      <w:r w:rsidRPr="00CB23AE">
        <w:rPr>
          <w:rFonts w:eastAsia="Times New Roman" w:cstheme="minorHAnsi"/>
          <w:sz w:val="20"/>
          <w:szCs w:val="20"/>
        </w:rPr>
        <w:t xml:space="preserve"> issued by the inspection company shall form part of the required shipping documents.</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Shipping Documents</w:t>
      </w:r>
      <w:r w:rsidRPr="00CB23AE">
        <w:rPr>
          <w:rFonts w:eastAsia="Times New Roman" w:cstheme="minorHAnsi"/>
          <w:sz w:val="20"/>
          <w:szCs w:val="20"/>
        </w:rPr>
        <w:br/>
        <w:t>The Seller shall provide the Buyer and Buyer’s bank with a full set of original shipping documents, including but not limited to:</w:t>
      </w:r>
    </w:p>
    <w:p w:rsidR="004E7FA8" w:rsidRPr="00CB23AE" w:rsidRDefault="004E7FA8" w:rsidP="004E7FA8">
      <w:pPr>
        <w:numPr>
          <w:ilvl w:val="1"/>
          <w:numId w:val="1"/>
        </w:numPr>
        <w:spacing w:before="100" w:beforeAutospacing="1" w:after="100" w:afterAutospacing="1" w:line="240" w:lineRule="auto"/>
        <w:rPr>
          <w:rFonts w:eastAsia="Times New Roman" w:cstheme="minorHAnsi"/>
          <w:sz w:val="20"/>
          <w:szCs w:val="20"/>
        </w:rPr>
      </w:pPr>
      <w:r w:rsidRPr="00CB23AE">
        <w:rPr>
          <w:rFonts w:eastAsia="Times New Roman" w:cstheme="minorHAnsi"/>
          <w:sz w:val="20"/>
          <w:szCs w:val="20"/>
        </w:rPr>
        <w:t>Commercial Invoice</w:t>
      </w:r>
    </w:p>
    <w:p w:rsidR="004E7FA8" w:rsidRPr="00CB23AE" w:rsidRDefault="004E7FA8" w:rsidP="004E7FA8">
      <w:pPr>
        <w:numPr>
          <w:ilvl w:val="1"/>
          <w:numId w:val="1"/>
        </w:numPr>
        <w:spacing w:before="100" w:beforeAutospacing="1" w:after="100" w:afterAutospacing="1" w:line="240" w:lineRule="auto"/>
        <w:rPr>
          <w:rFonts w:eastAsia="Times New Roman" w:cstheme="minorHAnsi"/>
          <w:sz w:val="20"/>
          <w:szCs w:val="20"/>
        </w:rPr>
      </w:pPr>
      <w:r w:rsidRPr="00CB23AE">
        <w:rPr>
          <w:rFonts w:eastAsia="Times New Roman" w:cstheme="minorHAnsi"/>
          <w:sz w:val="20"/>
          <w:szCs w:val="20"/>
        </w:rPr>
        <w:t>Packing List</w:t>
      </w:r>
    </w:p>
    <w:p w:rsidR="004E7FA8" w:rsidRPr="00CB23AE" w:rsidRDefault="004E7FA8" w:rsidP="004E7FA8">
      <w:pPr>
        <w:numPr>
          <w:ilvl w:val="1"/>
          <w:numId w:val="1"/>
        </w:numPr>
        <w:spacing w:before="100" w:beforeAutospacing="1" w:after="100" w:afterAutospacing="1" w:line="240" w:lineRule="auto"/>
        <w:rPr>
          <w:rFonts w:eastAsia="Times New Roman" w:cstheme="minorHAnsi"/>
          <w:sz w:val="20"/>
          <w:szCs w:val="20"/>
        </w:rPr>
      </w:pPr>
      <w:r w:rsidRPr="00CB23AE">
        <w:rPr>
          <w:rFonts w:eastAsia="Times New Roman" w:cstheme="minorHAnsi"/>
          <w:sz w:val="20"/>
          <w:szCs w:val="20"/>
        </w:rPr>
        <w:t>Bill of Lading (3/3 originals)</w:t>
      </w:r>
    </w:p>
    <w:p w:rsidR="004E7FA8" w:rsidRPr="00CB23AE" w:rsidRDefault="004E7FA8" w:rsidP="004E7FA8">
      <w:pPr>
        <w:numPr>
          <w:ilvl w:val="1"/>
          <w:numId w:val="1"/>
        </w:numPr>
        <w:spacing w:before="100" w:beforeAutospacing="1" w:after="100" w:afterAutospacing="1" w:line="240" w:lineRule="auto"/>
        <w:rPr>
          <w:rFonts w:eastAsia="Times New Roman" w:cstheme="minorHAnsi"/>
          <w:sz w:val="20"/>
          <w:szCs w:val="20"/>
        </w:rPr>
      </w:pPr>
      <w:r w:rsidRPr="00CB23AE">
        <w:rPr>
          <w:rFonts w:eastAsia="Times New Roman" w:cstheme="minorHAnsi"/>
          <w:sz w:val="20"/>
          <w:szCs w:val="20"/>
        </w:rPr>
        <w:t>Certificate of Origin</w:t>
      </w:r>
    </w:p>
    <w:p w:rsidR="004E7FA8" w:rsidRPr="00CB23AE" w:rsidRDefault="004E7FA8" w:rsidP="004E7FA8">
      <w:pPr>
        <w:numPr>
          <w:ilvl w:val="1"/>
          <w:numId w:val="1"/>
        </w:numPr>
        <w:spacing w:before="100" w:beforeAutospacing="1" w:after="100" w:afterAutospacing="1" w:line="240" w:lineRule="auto"/>
        <w:rPr>
          <w:rFonts w:eastAsia="Times New Roman" w:cstheme="minorHAnsi"/>
          <w:sz w:val="20"/>
          <w:szCs w:val="20"/>
        </w:rPr>
      </w:pPr>
      <w:r w:rsidRPr="00CB23AE">
        <w:rPr>
          <w:rFonts w:eastAsia="Times New Roman" w:cstheme="minorHAnsi"/>
          <w:sz w:val="20"/>
          <w:szCs w:val="20"/>
        </w:rPr>
        <w:t>Inspection Certificate (SGS/BV)</w:t>
      </w:r>
    </w:p>
    <w:p w:rsidR="004E7FA8" w:rsidRPr="00CB23AE" w:rsidRDefault="004E7FA8" w:rsidP="004E7FA8">
      <w:pPr>
        <w:numPr>
          <w:ilvl w:val="1"/>
          <w:numId w:val="1"/>
        </w:numPr>
        <w:spacing w:before="100" w:beforeAutospacing="1" w:after="100" w:afterAutospacing="1" w:line="240" w:lineRule="auto"/>
        <w:rPr>
          <w:rFonts w:eastAsia="Times New Roman" w:cstheme="minorHAnsi"/>
          <w:sz w:val="20"/>
          <w:szCs w:val="20"/>
        </w:rPr>
      </w:pPr>
      <w:r w:rsidRPr="00CB23AE">
        <w:rPr>
          <w:rFonts w:eastAsia="Times New Roman" w:cstheme="minorHAnsi"/>
          <w:sz w:val="20"/>
          <w:szCs w:val="20"/>
        </w:rPr>
        <w:t>Weight and Quality Certificate</w:t>
      </w:r>
    </w:p>
    <w:p w:rsidR="004E7FA8" w:rsidRPr="00CB23AE" w:rsidRDefault="004E7FA8" w:rsidP="004E7FA8">
      <w:pPr>
        <w:numPr>
          <w:ilvl w:val="1"/>
          <w:numId w:val="1"/>
        </w:numPr>
        <w:spacing w:before="100" w:beforeAutospacing="1" w:after="100" w:afterAutospacing="1" w:line="240" w:lineRule="auto"/>
        <w:rPr>
          <w:rFonts w:eastAsia="Times New Roman" w:cstheme="minorHAnsi"/>
          <w:sz w:val="20"/>
          <w:szCs w:val="20"/>
        </w:rPr>
      </w:pPr>
      <w:r w:rsidRPr="00CB23AE">
        <w:rPr>
          <w:rFonts w:eastAsia="Times New Roman" w:cstheme="minorHAnsi"/>
          <w:sz w:val="20"/>
          <w:szCs w:val="20"/>
        </w:rPr>
        <w:t>Insurance Certificate (if applicable)</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Payment</w:t>
      </w:r>
      <w:r w:rsidRPr="00CB23AE">
        <w:rPr>
          <w:rFonts w:eastAsia="Times New Roman" w:cstheme="minorHAnsi"/>
          <w:sz w:val="20"/>
          <w:szCs w:val="20"/>
        </w:rPr>
        <w:br/>
        <w:t>The payment shall be effected automatically by the Buyer’s bank against presentation of the full set of compliant shipping documents, as per the terms of the DLC/SBLC.</w:t>
      </w:r>
      <w:r w:rsidRPr="00CB23AE">
        <w:rPr>
          <w:rFonts w:eastAsia="Times New Roman" w:cstheme="minorHAnsi"/>
          <w:sz w:val="20"/>
          <w:szCs w:val="20"/>
        </w:rPr>
        <w:br/>
        <w:t>The payment shall be made in U.S. Dollars (USD) to the Seller’s designated bank account.</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Delivery and Transfer of Title</w:t>
      </w:r>
      <w:r w:rsidRPr="00CB23AE">
        <w:rPr>
          <w:rFonts w:eastAsia="Times New Roman" w:cstheme="minorHAnsi"/>
          <w:sz w:val="20"/>
          <w:szCs w:val="20"/>
        </w:rPr>
        <w:br/>
        <w:t xml:space="preserve">The title and ownership of goods shall transfer from Seller to Buyer </w:t>
      </w:r>
      <w:r w:rsidRPr="004E7FA8">
        <w:rPr>
          <w:rFonts w:eastAsia="Times New Roman" w:cstheme="minorHAnsi"/>
          <w:bCs/>
          <w:sz w:val="20"/>
          <w:szCs w:val="20"/>
        </w:rPr>
        <w:t>upon full payment</w:t>
      </w:r>
      <w:r w:rsidRPr="00CB23AE">
        <w:rPr>
          <w:rFonts w:eastAsia="Times New Roman" w:cstheme="minorHAnsi"/>
          <w:sz w:val="20"/>
          <w:szCs w:val="20"/>
        </w:rPr>
        <w:t xml:space="preserve"> and </w:t>
      </w:r>
      <w:r w:rsidRPr="004E7FA8">
        <w:rPr>
          <w:rFonts w:eastAsia="Times New Roman" w:cstheme="minorHAnsi"/>
          <w:bCs/>
          <w:sz w:val="20"/>
          <w:szCs w:val="20"/>
        </w:rPr>
        <w:t>delivery of goods</w:t>
      </w:r>
      <w:r w:rsidRPr="00CB23AE">
        <w:rPr>
          <w:rFonts w:eastAsia="Times New Roman" w:cstheme="minorHAnsi"/>
          <w:sz w:val="20"/>
          <w:szCs w:val="20"/>
        </w:rPr>
        <w:t xml:space="preserve"> as defined by the </w:t>
      </w:r>
      <w:proofErr w:type="spellStart"/>
      <w:r w:rsidRPr="00CB23AE">
        <w:rPr>
          <w:rFonts w:eastAsia="Times New Roman" w:cstheme="minorHAnsi"/>
          <w:sz w:val="20"/>
          <w:szCs w:val="20"/>
        </w:rPr>
        <w:t>Incoterms</w:t>
      </w:r>
      <w:proofErr w:type="spellEnd"/>
      <w:r w:rsidRPr="00CB23AE">
        <w:rPr>
          <w:rFonts w:eastAsia="Times New Roman" w:cstheme="minorHAnsi"/>
          <w:sz w:val="20"/>
          <w:szCs w:val="20"/>
        </w:rPr>
        <w:t xml:space="preserve"> used in the contract.</w:t>
      </w:r>
    </w:p>
    <w:p w:rsidR="004E7FA8" w:rsidRPr="00CB23AE" w:rsidRDefault="004E7FA8" w:rsidP="004E7FA8">
      <w:pPr>
        <w:numPr>
          <w:ilvl w:val="0"/>
          <w:numId w:val="1"/>
        </w:numPr>
        <w:spacing w:before="100" w:beforeAutospacing="1" w:after="100" w:afterAutospacing="1" w:line="240" w:lineRule="auto"/>
        <w:rPr>
          <w:rFonts w:eastAsia="Times New Roman" w:cstheme="minorHAnsi"/>
          <w:sz w:val="20"/>
          <w:szCs w:val="20"/>
        </w:rPr>
      </w:pPr>
      <w:r w:rsidRPr="004E7FA8">
        <w:rPr>
          <w:rFonts w:eastAsia="Times New Roman" w:cstheme="minorHAnsi"/>
          <w:b/>
          <w:bCs/>
          <w:sz w:val="20"/>
          <w:szCs w:val="20"/>
        </w:rPr>
        <w:t>Documentation and Communication</w:t>
      </w:r>
      <w:r w:rsidRPr="00CB23AE">
        <w:rPr>
          <w:rFonts w:eastAsia="Times New Roman" w:cstheme="minorHAnsi"/>
          <w:sz w:val="20"/>
          <w:szCs w:val="20"/>
        </w:rPr>
        <w:br/>
      </w:r>
      <w:proofErr w:type="gramStart"/>
      <w:r w:rsidRPr="00CB23AE">
        <w:rPr>
          <w:rFonts w:eastAsia="Times New Roman" w:cstheme="minorHAnsi"/>
          <w:sz w:val="20"/>
          <w:szCs w:val="20"/>
        </w:rPr>
        <w:t>All</w:t>
      </w:r>
      <w:proofErr w:type="gramEnd"/>
      <w:r w:rsidRPr="00CB23AE">
        <w:rPr>
          <w:rFonts w:eastAsia="Times New Roman" w:cstheme="minorHAnsi"/>
          <w:sz w:val="20"/>
          <w:szCs w:val="20"/>
        </w:rPr>
        <w:t xml:space="preserve"> official communications and documentation exchange between Buyer, Seller, and their respective banks shall be conducted via </w:t>
      </w:r>
      <w:r w:rsidRPr="004E7FA8">
        <w:rPr>
          <w:rFonts w:eastAsia="Times New Roman" w:cstheme="minorHAnsi"/>
          <w:bCs/>
          <w:sz w:val="20"/>
          <w:szCs w:val="20"/>
        </w:rPr>
        <w:t>SWIFT</w:t>
      </w:r>
      <w:r w:rsidRPr="00CB23AE">
        <w:rPr>
          <w:rFonts w:eastAsia="Times New Roman" w:cstheme="minorHAnsi"/>
          <w:sz w:val="20"/>
          <w:szCs w:val="20"/>
        </w:rPr>
        <w:t xml:space="preserve">, </w:t>
      </w:r>
      <w:r w:rsidRPr="004E7FA8">
        <w:rPr>
          <w:rFonts w:eastAsia="Times New Roman" w:cstheme="minorHAnsi"/>
          <w:bCs/>
          <w:sz w:val="20"/>
          <w:szCs w:val="20"/>
        </w:rPr>
        <w:t>email</w:t>
      </w:r>
      <w:r w:rsidRPr="00CB23AE">
        <w:rPr>
          <w:rFonts w:eastAsia="Times New Roman" w:cstheme="minorHAnsi"/>
          <w:sz w:val="20"/>
          <w:szCs w:val="20"/>
        </w:rPr>
        <w:t xml:space="preserve">, or </w:t>
      </w:r>
      <w:r w:rsidRPr="004E7FA8">
        <w:rPr>
          <w:rFonts w:eastAsia="Times New Roman" w:cstheme="minorHAnsi"/>
          <w:bCs/>
          <w:sz w:val="20"/>
          <w:szCs w:val="20"/>
        </w:rPr>
        <w:t>other verifiable channels</w:t>
      </w:r>
      <w:r w:rsidRPr="00CB23AE">
        <w:rPr>
          <w:rFonts w:eastAsia="Times New Roman" w:cstheme="minorHAnsi"/>
          <w:sz w:val="20"/>
          <w:szCs w:val="20"/>
        </w:rPr>
        <w:t xml:space="preserve"> agreed in the contract.</w:t>
      </w:r>
    </w:p>
    <w:p w:rsidR="0037323B" w:rsidRPr="004E7FA8" w:rsidRDefault="004E7FA8" w:rsidP="004E7FA8">
      <w:pPr>
        <w:numPr>
          <w:ilvl w:val="0"/>
          <w:numId w:val="1"/>
        </w:numPr>
        <w:spacing w:before="100" w:beforeAutospacing="1" w:after="100" w:afterAutospacing="1" w:line="240" w:lineRule="auto"/>
        <w:rPr>
          <w:rFonts w:cstheme="minorHAnsi"/>
          <w:sz w:val="20"/>
          <w:szCs w:val="20"/>
        </w:rPr>
      </w:pPr>
      <w:r w:rsidRPr="004E7FA8">
        <w:rPr>
          <w:rFonts w:eastAsia="Times New Roman" w:cstheme="minorHAnsi"/>
          <w:b/>
          <w:bCs/>
          <w:sz w:val="20"/>
          <w:szCs w:val="20"/>
        </w:rPr>
        <w:t>Arbitration and Governing Law</w:t>
      </w:r>
      <w:r w:rsidRPr="00CB23AE">
        <w:rPr>
          <w:rFonts w:eastAsia="Times New Roman" w:cstheme="minorHAnsi"/>
          <w:sz w:val="20"/>
          <w:szCs w:val="20"/>
        </w:rPr>
        <w:br/>
      </w:r>
      <w:proofErr w:type="gramStart"/>
      <w:r w:rsidRPr="00CB23AE">
        <w:rPr>
          <w:rFonts w:eastAsia="Times New Roman" w:cstheme="minorHAnsi"/>
          <w:sz w:val="20"/>
          <w:szCs w:val="20"/>
        </w:rPr>
        <w:t>Any</w:t>
      </w:r>
      <w:proofErr w:type="gramEnd"/>
      <w:r w:rsidRPr="00CB23AE">
        <w:rPr>
          <w:rFonts w:eastAsia="Times New Roman" w:cstheme="minorHAnsi"/>
          <w:sz w:val="20"/>
          <w:szCs w:val="20"/>
        </w:rPr>
        <w:t xml:space="preserve"> disputes arising from this transaction procedure shall be settled by arbitration as defined in the SPA (e.g., </w:t>
      </w:r>
      <w:r w:rsidRPr="004E7FA8">
        <w:rPr>
          <w:rFonts w:eastAsia="Times New Roman" w:cstheme="minorHAnsi"/>
          <w:bCs/>
          <w:sz w:val="20"/>
          <w:szCs w:val="20"/>
        </w:rPr>
        <w:t>ICC Paris</w:t>
      </w:r>
      <w:r w:rsidRPr="00CB23AE">
        <w:rPr>
          <w:rFonts w:eastAsia="Times New Roman" w:cstheme="minorHAnsi"/>
          <w:sz w:val="20"/>
          <w:szCs w:val="20"/>
        </w:rPr>
        <w:t xml:space="preserve">, </w:t>
      </w:r>
      <w:r w:rsidRPr="004E7FA8">
        <w:rPr>
          <w:rFonts w:eastAsia="Times New Roman" w:cstheme="minorHAnsi"/>
          <w:bCs/>
          <w:sz w:val="20"/>
          <w:szCs w:val="20"/>
        </w:rPr>
        <w:t>London Court of Arbitration</w:t>
      </w:r>
      <w:r w:rsidRPr="00CB23AE">
        <w:rPr>
          <w:rFonts w:eastAsia="Times New Roman" w:cstheme="minorHAnsi"/>
          <w:sz w:val="20"/>
          <w:szCs w:val="20"/>
        </w:rPr>
        <w:t xml:space="preserve">, or </w:t>
      </w:r>
      <w:r w:rsidRPr="004E7FA8">
        <w:rPr>
          <w:rFonts w:eastAsia="Times New Roman" w:cstheme="minorHAnsi"/>
          <w:bCs/>
          <w:sz w:val="20"/>
          <w:szCs w:val="20"/>
        </w:rPr>
        <w:t>Swiss Chamber of Commerce</w:t>
      </w:r>
      <w:r w:rsidRPr="00CB23AE">
        <w:rPr>
          <w:rFonts w:eastAsia="Times New Roman" w:cstheme="minorHAnsi"/>
          <w:sz w:val="20"/>
          <w:szCs w:val="20"/>
        </w:rPr>
        <w:t>).</w:t>
      </w:r>
      <w:r w:rsidRPr="00CB23AE">
        <w:rPr>
          <w:rFonts w:eastAsia="Times New Roman" w:cstheme="minorHAnsi"/>
          <w:sz w:val="20"/>
          <w:szCs w:val="20"/>
        </w:rPr>
        <w:br/>
        <w:t>The governing law shall be that specified in the main body of the SPA.</w:t>
      </w:r>
    </w:p>
    <w:sectPr w:rsidR="0037323B" w:rsidRPr="004E7FA8" w:rsidSect="004E7FA8">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584A2A"/>
    <w:multiLevelType w:val="multilevel"/>
    <w:tmpl w:val="7E005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4E7FA8"/>
    <w:rsid w:val="0037323B"/>
    <w:rsid w:val="004E7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A8"/>
  </w:style>
  <w:style w:type="paragraph" w:styleId="Heading2">
    <w:name w:val="heading 2"/>
    <w:basedOn w:val="Normal"/>
    <w:next w:val="Normal"/>
    <w:link w:val="Heading2Char"/>
    <w:uiPriority w:val="9"/>
    <w:semiHidden/>
    <w:unhideWhenUsed/>
    <w:qFormat/>
    <w:rsid w:val="004E7F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7FA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E7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FA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TehnoCentar</dc:creator>
  <cp:lastModifiedBy>TehnoCentar</cp:lastModifiedBy>
  <cp:revision>1</cp:revision>
  <dcterms:created xsi:type="dcterms:W3CDTF">2025-11-12T21:10:00Z</dcterms:created>
  <dcterms:modified xsi:type="dcterms:W3CDTF">2025-11-12T21:13:00Z</dcterms:modified>
</cp:coreProperties>
</file>